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8CF" w14:textId="5F4A9793" w:rsidR="00A736CE" w:rsidRPr="00B417AD" w:rsidRDefault="009816A3" w:rsidP="00A736CE">
      <w:pPr>
        <w:pStyle w:val="Headertext"/>
        <w:rPr>
          <w:rFonts w:ascii="IBM Plex Sans" w:hAnsi="IBM Plex Sans"/>
          <w:lang w:val="en-US"/>
        </w:rPr>
      </w:pPr>
      <w:r w:rsidRPr="00B417AD">
        <w:rPr>
          <w:rFonts w:ascii="IBM Plex Sans" w:hAnsi="IBM Plex Sans"/>
          <w:vertAlign w:val="subscript"/>
          <w:lang w:val="en-US"/>
        </w:rPr>
        <w:softHyphen/>
      </w:r>
      <w:r w:rsidR="00A736CE" w:rsidRPr="00B417AD">
        <w:rPr>
          <w:rFonts w:ascii="IBM Plex Sans" w:hAnsi="IBM Plex Sans"/>
          <w:lang w:val="en-US"/>
        </w:rPr>
        <w:fldChar w:fldCharType="begin"/>
      </w:r>
      <w:r w:rsidR="00A736CE" w:rsidRPr="00B417AD">
        <w:rPr>
          <w:rFonts w:ascii="IBM Plex Sans" w:hAnsi="IBM Plex Sans"/>
          <w:lang w:val="en-US"/>
        </w:rPr>
        <w:instrText xml:space="preserve"> SUBJECT  \* MERGEFORMAT </w:instrText>
      </w:r>
      <w:r w:rsidR="00A736CE" w:rsidRPr="00B417AD">
        <w:rPr>
          <w:rFonts w:ascii="IBM Plex Sans" w:hAnsi="IBM Plex Sans"/>
          <w:lang w:val="en-US"/>
        </w:rPr>
        <w:fldChar w:fldCharType="separate"/>
      </w:r>
      <w:r w:rsidR="00A736CE" w:rsidRPr="00B417AD">
        <w:rPr>
          <w:rFonts w:ascii="IBM Plex Sans" w:hAnsi="IBM Plex Sans"/>
          <w:lang w:val="en-US"/>
        </w:rPr>
        <w:t xml:space="preserve">IBM </w:t>
      </w:r>
      <w:r w:rsidR="00A736CE">
        <w:rPr>
          <w:rFonts w:ascii="IBM Plex Sans" w:hAnsi="IBM Plex Sans"/>
          <w:lang w:val="en-US"/>
        </w:rPr>
        <w:t>BrassRing on Cloud</w:t>
      </w:r>
      <w:r w:rsidR="00A736CE" w:rsidRPr="00B417AD">
        <w:rPr>
          <w:rFonts w:ascii="IBM Plex Sans" w:hAnsi="IBM Plex Sans"/>
          <w:lang w:val="en-US"/>
        </w:rPr>
        <w:fldChar w:fldCharType="end"/>
      </w:r>
    </w:p>
    <w:p w14:paraId="58A2D161" w14:textId="77777777" w:rsidR="00A736CE" w:rsidRPr="00A736CE" w:rsidRDefault="00A736CE" w:rsidP="00A736CE">
      <w:pPr>
        <w:rPr>
          <w:rFonts w:ascii="IBM Plex Sans" w:hAnsi="IBM Plex Sans"/>
          <w:sz w:val="10"/>
          <w:lang w:val="en-US"/>
        </w:rPr>
      </w:pPr>
      <w:r w:rsidRPr="00A736CE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 xml:space="preserve">Hiring Manager </w:t>
      </w:r>
      <w:r w:rsidRPr="00A736CE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begin"/>
      </w:r>
      <w:r w:rsidRPr="00A736CE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instrText xml:space="preserve"> TITLE  \* MERGEFORMAT </w:instrText>
      </w:r>
      <w:r w:rsidRPr="00A736CE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fldChar w:fldCharType="end"/>
      </w:r>
      <w:r w:rsidRPr="00A736CE">
        <w:rPr>
          <w:rFonts w:ascii="IBM Plex Sans" w:eastAsiaTheme="majorEastAsia" w:hAnsi="IBM Plex Sans" w:cstheme="majorBidi"/>
          <w:b/>
          <w:bCs/>
          <w:color w:val="17647E"/>
          <w:spacing w:val="-10"/>
          <w:kern w:val="28"/>
          <w:sz w:val="36"/>
          <w:szCs w:val="56"/>
          <w:lang w:val="en-US"/>
        </w:rPr>
        <w:t>Quick Reference Guide</w:t>
      </w:r>
    </w:p>
    <w:p w14:paraId="3F004AA3" w14:textId="7E3868B3" w:rsidR="00A736CE" w:rsidRDefault="00A736CE" w:rsidP="00A736CE">
      <w:pPr>
        <w:rPr>
          <w:rFonts w:ascii="IBM Plex Sans" w:hAnsi="IBM Plex Sans"/>
        </w:rPr>
      </w:pPr>
      <w:r>
        <w:rPr>
          <w:rFonts w:ascii="IBM Plex Sans" w:hAnsi="IBM Plex Sans"/>
        </w:rPr>
        <w:t>This Quick Reference Guide is provided without branding and can be edited by your organization as needed.</w:t>
      </w:r>
    </w:p>
    <w:p w14:paraId="551596F5" w14:textId="77777777" w:rsidR="00A736CE" w:rsidRPr="00A736CE" w:rsidRDefault="00A736CE" w:rsidP="00A736CE">
      <w:pPr>
        <w:rPr>
          <w:rFonts w:ascii="IBM Plex Sans" w:hAnsi="IBM Plex Sans"/>
        </w:rPr>
      </w:pPr>
    </w:p>
    <w:p w14:paraId="40183BDA" w14:textId="545613AE" w:rsidR="009E7E46" w:rsidRPr="00CC2625" w:rsidRDefault="00CC2625" w:rsidP="009E7E46">
      <w:pPr>
        <w:pStyle w:val="Heading2"/>
        <w:rPr>
          <w:rFonts w:ascii="IBM Plex Sans" w:hAnsi="IBM Plex Sans"/>
        </w:rPr>
      </w:pPr>
      <w:proofErr w:type="spellStart"/>
      <w:r w:rsidRPr="00CC2625">
        <w:rPr>
          <w:rFonts w:ascii="IBM Plex Sans" w:hAnsi="IBM Plex Sans"/>
        </w:rPr>
        <w:t>eLinks</w:t>
      </w:r>
      <w:proofErr w:type="spellEnd"/>
    </w:p>
    <w:p w14:paraId="16F655B2" w14:textId="2B49994D" w:rsidR="00CC2625" w:rsidRPr="00CC2625" w:rsidRDefault="00CC2625" w:rsidP="00CC2625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proofErr w:type="spellStart"/>
      <w:r w:rsidRPr="00CC2625">
        <w:rPr>
          <w:rFonts w:ascii="IBM Plex Sans" w:hAnsi="IBM Plex Sans"/>
        </w:rPr>
        <w:t>eLinks</w:t>
      </w:r>
      <w:proofErr w:type="spellEnd"/>
      <w:r w:rsidRPr="00CC2625">
        <w:rPr>
          <w:rFonts w:ascii="IBM Plex Sans" w:hAnsi="IBM Plex Sans"/>
        </w:rPr>
        <w:t xml:space="preserve"> allow the recruitment team to send resumes or CVs and other information about candidates</w:t>
      </w:r>
      <w:r w:rsidR="00A736CE">
        <w:rPr>
          <w:rFonts w:ascii="IBM Plex Sans" w:hAnsi="IBM Plex Sans"/>
        </w:rPr>
        <w:t>,</w:t>
      </w:r>
      <w:r w:rsidR="003810EB">
        <w:rPr>
          <w:rFonts w:ascii="IBM Plex Sans" w:hAnsi="IBM Plex Sans"/>
        </w:rPr>
        <w:t xml:space="preserve"> </w:t>
      </w:r>
      <w:r w:rsidR="00A736CE">
        <w:rPr>
          <w:rFonts w:ascii="IBM Plex Sans" w:hAnsi="IBM Plex Sans"/>
        </w:rPr>
        <w:t>or reqs for approval</w:t>
      </w:r>
      <w:r w:rsidRPr="00CC2625">
        <w:rPr>
          <w:rFonts w:ascii="IBM Plex Sans" w:hAnsi="IBM Plex Sans"/>
        </w:rPr>
        <w:t xml:space="preserve"> by using email.  </w:t>
      </w:r>
    </w:p>
    <w:p w14:paraId="4AD0F21B" w14:textId="7F3A2FD7" w:rsidR="007B3300" w:rsidRPr="00CC2625" w:rsidRDefault="007B3300" w:rsidP="007B3300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An </w:t>
      </w:r>
      <w:proofErr w:type="spellStart"/>
      <w:r w:rsidRPr="00CC2625">
        <w:rPr>
          <w:rFonts w:ascii="IBM Plex Sans" w:hAnsi="IBM Plex Sans"/>
        </w:rPr>
        <w:t>eLink</w:t>
      </w:r>
      <w:proofErr w:type="spellEnd"/>
      <w:r w:rsidRPr="00CC2625">
        <w:rPr>
          <w:rFonts w:ascii="IBM Plex Sans" w:hAnsi="IBM Plex Sans"/>
        </w:rPr>
        <w:t xml:space="preserve"> is a </w:t>
      </w:r>
      <w:r w:rsidR="00CC2625" w:rsidRPr="00CC2625">
        <w:rPr>
          <w:rFonts w:ascii="IBM Plex Sans" w:hAnsi="IBM Plex Sans"/>
        </w:rPr>
        <w:t>hyper</w:t>
      </w:r>
      <w:r w:rsidRPr="00CC2625">
        <w:rPr>
          <w:rFonts w:ascii="IBM Plex Sans" w:hAnsi="IBM Plex Sans"/>
        </w:rPr>
        <w:t>link included in an email that takes you to a candidate’s resume,</w:t>
      </w:r>
      <w:r w:rsidR="00A736CE">
        <w:rPr>
          <w:rFonts w:ascii="IBM Plex Sans" w:hAnsi="IBM Plex Sans"/>
        </w:rPr>
        <w:t xml:space="preserve"> </w:t>
      </w:r>
      <w:r w:rsidRPr="00CC2625">
        <w:rPr>
          <w:rFonts w:ascii="IBM Plex Sans" w:hAnsi="IBM Plex Sans"/>
        </w:rPr>
        <w:t>CV</w:t>
      </w:r>
      <w:r w:rsidR="00A736CE">
        <w:rPr>
          <w:rFonts w:ascii="IBM Plex Sans" w:hAnsi="IBM Plex Sans"/>
        </w:rPr>
        <w:t xml:space="preserve">, </w:t>
      </w:r>
      <w:proofErr w:type="spellStart"/>
      <w:r w:rsidR="00A736CE">
        <w:rPr>
          <w:rFonts w:ascii="IBM Plex Sans" w:hAnsi="IBM Plex Sans"/>
        </w:rPr>
        <w:t>req</w:t>
      </w:r>
      <w:proofErr w:type="spellEnd"/>
      <w:r w:rsidR="00A736CE">
        <w:rPr>
          <w:rFonts w:ascii="IBM Plex Sans" w:hAnsi="IBM Plex Sans"/>
        </w:rPr>
        <w:t>,</w:t>
      </w:r>
      <w:r w:rsidRPr="00CC2625">
        <w:rPr>
          <w:rFonts w:ascii="IBM Plex Sans" w:hAnsi="IBM Plex Sans"/>
        </w:rPr>
        <w:t xml:space="preserve"> or </w:t>
      </w:r>
      <w:r w:rsidR="00CC2625" w:rsidRPr="00CC2625">
        <w:rPr>
          <w:rFonts w:ascii="IBM Plex Sans" w:hAnsi="IBM Plex Sans"/>
        </w:rPr>
        <w:t xml:space="preserve">a </w:t>
      </w:r>
      <w:r w:rsidRPr="00CC2625">
        <w:rPr>
          <w:rFonts w:ascii="IBM Plex Sans" w:hAnsi="IBM Plex Sans"/>
        </w:rPr>
        <w:t xml:space="preserve">form. </w:t>
      </w:r>
    </w:p>
    <w:p w14:paraId="06405759" w14:textId="402C7981" w:rsidR="007B3300" w:rsidRPr="00CC2625" w:rsidRDefault="007B3300" w:rsidP="007B3300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proofErr w:type="spellStart"/>
      <w:r w:rsidRPr="00CC2625">
        <w:rPr>
          <w:rFonts w:ascii="IBM Plex Sans" w:hAnsi="IBM Plex Sans"/>
        </w:rPr>
        <w:t>eLinks</w:t>
      </w:r>
      <w:proofErr w:type="spellEnd"/>
      <w:r w:rsidRPr="00CC2625">
        <w:rPr>
          <w:rFonts w:ascii="IBM Plex Sans" w:hAnsi="IBM Plex Sans"/>
        </w:rPr>
        <w:t xml:space="preserve"> </w:t>
      </w:r>
      <w:r w:rsidR="00A736CE">
        <w:rPr>
          <w:rFonts w:ascii="IBM Plex Sans" w:hAnsi="IBM Plex Sans"/>
        </w:rPr>
        <w:t xml:space="preserve">can be responded to with </w:t>
      </w:r>
      <w:r w:rsidRPr="00CC2625">
        <w:rPr>
          <w:rFonts w:ascii="IBM Plex Sans" w:hAnsi="IBM Plex Sans"/>
        </w:rPr>
        <w:t>comments during the screening process of candidates.</w:t>
      </w:r>
    </w:p>
    <w:p w14:paraId="4BD480DB" w14:textId="684ACAEE" w:rsidR="007B3300" w:rsidRPr="00CC2625" w:rsidRDefault="007B3300" w:rsidP="007B3300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proofErr w:type="spellStart"/>
      <w:r w:rsidRPr="00CC2625">
        <w:rPr>
          <w:rFonts w:ascii="IBM Plex Sans" w:hAnsi="IBM Plex Sans"/>
        </w:rPr>
        <w:t>eLink</w:t>
      </w:r>
      <w:proofErr w:type="spellEnd"/>
      <w:r w:rsidRPr="00CC2625">
        <w:rPr>
          <w:rFonts w:ascii="IBM Plex Sans" w:hAnsi="IBM Plex Sans"/>
        </w:rPr>
        <w:t xml:space="preserve"> activity is tracked</w:t>
      </w:r>
      <w:r w:rsidR="00CC2625">
        <w:rPr>
          <w:rFonts w:ascii="IBM Plex Sans" w:hAnsi="IBM Plex Sans"/>
        </w:rPr>
        <w:t xml:space="preserve">. Recruiters can see </w:t>
      </w:r>
      <w:r w:rsidR="00451E1D">
        <w:rPr>
          <w:rFonts w:ascii="IBM Plex Sans" w:hAnsi="IBM Plex Sans"/>
        </w:rPr>
        <w:t>whether</w:t>
      </w:r>
      <w:r w:rsidR="00CC2625">
        <w:rPr>
          <w:rFonts w:ascii="IBM Plex Sans" w:hAnsi="IBM Plex Sans"/>
        </w:rPr>
        <w:t xml:space="preserve"> someone has </w:t>
      </w:r>
      <w:r w:rsidRPr="00CC2625">
        <w:rPr>
          <w:rFonts w:ascii="IBM Plex Sans" w:hAnsi="IBM Plex Sans"/>
        </w:rPr>
        <w:t xml:space="preserve">viewed </w:t>
      </w:r>
      <w:r w:rsidR="00A31D89">
        <w:rPr>
          <w:rFonts w:ascii="IBM Plex Sans" w:hAnsi="IBM Plex Sans"/>
        </w:rPr>
        <w:t>or</w:t>
      </w:r>
      <w:r w:rsidRPr="00CC2625">
        <w:rPr>
          <w:rFonts w:ascii="IBM Plex Sans" w:hAnsi="IBM Plex Sans"/>
        </w:rPr>
        <w:t xml:space="preserve"> responded to </w:t>
      </w:r>
      <w:r w:rsidR="00CC2625">
        <w:rPr>
          <w:rFonts w:ascii="IBM Plex Sans" w:hAnsi="IBM Plex Sans"/>
        </w:rPr>
        <w:t>an</w:t>
      </w:r>
      <w:r w:rsidRPr="00CC2625">
        <w:rPr>
          <w:rFonts w:ascii="IBM Plex Sans" w:hAnsi="IBM Plex Sans"/>
        </w:rPr>
        <w:t xml:space="preserve"> </w:t>
      </w:r>
      <w:proofErr w:type="spellStart"/>
      <w:r w:rsidRPr="00CC2625">
        <w:rPr>
          <w:rFonts w:ascii="IBM Plex Sans" w:hAnsi="IBM Plex Sans"/>
        </w:rPr>
        <w:t>eLink</w:t>
      </w:r>
      <w:proofErr w:type="spellEnd"/>
      <w:r w:rsidRPr="00CC2625">
        <w:rPr>
          <w:rFonts w:ascii="IBM Plex Sans" w:hAnsi="IBM Plex Sans"/>
        </w:rPr>
        <w:t>.</w:t>
      </w:r>
    </w:p>
    <w:p w14:paraId="2E22FD17" w14:textId="689BF635" w:rsidR="007B3300" w:rsidRPr="00CC2625" w:rsidRDefault="007B3300" w:rsidP="007B3300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Internet access is required to open an </w:t>
      </w:r>
      <w:proofErr w:type="spellStart"/>
      <w:r w:rsidRPr="00CC2625">
        <w:rPr>
          <w:rFonts w:ascii="IBM Plex Sans" w:hAnsi="IBM Plex Sans"/>
        </w:rPr>
        <w:t>e</w:t>
      </w:r>
      <w:r w:rsidR="00CC2625" w:rsidRPr="00CC2625">
        <w:rPr>
          <w:rFonts w:ascii="IBM Plex Sans" w:hAnsi="IBM Plex Sans"/>
        </w:rPr>
        <w:t>L</w:t>
      </w:r>
      <w:r w:rsidRPr="00CC2625">
        <w:rPr>
          <w:rFonts w:ascii="IBM Plex Sans" w:hAnsi="IBM Plex Sans"/>
        </w:rPr>
        <w:t>ink</w:t>
      </w:r>
      <w:proofErr w:type="spellEnd"/>
      <w:r w:rsidRPr="00CC2625">
        <w:rPr>
          <w:rFonts w:ascii="IBM Plex Sans" w:hAnsi="IBM Plex Sans"/>
        </w:rPr>
        <w:t>.</w:t>
      </w:r>
    </w:p>
    <w:p w14:paraId="2B479F52" w14:textId="30D96D95" w:rsidR="007B3300" w:rsidRPr="00CC2625" w:rsidRDefault="007B3300" w:rsidP="007B3300">
      <w:pPr>
        <w:pStyle w:val="ListParagraph"/>
        <w:numPr>
          <w:ilvl w:val="0"/>
          <w:numId w:val="26"/>
        </w:numPr>
        <w:rPr>
          <w:rFonts w:ascii="IBM Plex Sans" w:hAnsi="IBM Plex Sans"/>
        </w:rPr>
      </w:pPr>
      <w:r w:rsidRPr="00CC2625">
        <w:rPr>
          <w:rFonts w:ascii="IBM Plex Sans" w:hAnsi="IBM Plex Sans"/>
        </w:rPr>
        <w:t>Select Help (</w:t>
      </w:r>
      <w:r w:rsidRPr="00CC2625">
        <w:rPr>
          <w:rFonts w:ascii="IBM Plex Sans" w:hAnsi="IBM Plex Sans"/>
          <w:noProof/>
        </w:rPr>
        <w:drawing>
          <wp:inline distT="0" distB="0" distL="0" distR="0" wp14:anchorId="75B7E760" wp14:editId="6CC5CB1B">
            <wp:extent cx="313844" cy="1241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3" b="17761"/>
                    <a:stretch/>
                  </pic:blipFill>
                  <pic:spPr bwMode="auto">
                    <a:xfrm>
                      <a:off x="0" y="0"/>
                      <a:ext cx="314325" cy="1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2625">
        <w:rPr>
          <w:rFonts w:ascii="IBM Plex Sans" w:hAnsi="IBM Plex Sans"/>
        </w:rPr>
        <w:t xml:space="preserve">) </w:t>
      </w:r>
      <w:r w:rsidR="00A31D89">
        <w:rPr>
          <w:rFonts w:ascii="IBM Plex Sans" w:hAnsi="IBM Plex Sans"/>
        </w:rPr>
        <w:t xml:space="preserve">in the </w:t>
      </w:r>
      <w:proofErr w:type="spellStart"/>
      <w:r w:rsidR="00A31D89">
        <w:rPr>
          <w:rFonts w:ascii="IBM Plex Sans" w:hAnsi="IBM Plex Sans"/>
        </w:rPr>
        <w:t>eLink</w:t>
      </w:r>
      <w:proofErr w:type="spellEnd"/>
      <w:r w:rsidR="00A31D89">
        <w:rPr>
          <w:rFonts w:ascii="IBM Plex Sans" w:hAnsi="IBM Plex Sans"/>
        </w:rPr>
        <w:t xml:space="preserve"> window</w:t>
      </w:r>
      <w:r w:rsidRPr="00CC2625">
        <w:rPr>
          <w:rFonts w:ascii="IBM Plex Sans" w:hAnsi="IBM Plex Sans"/>
        </w:rPr>
        <w:t xml:space="preserve"> to assist with any additional </w:t>
      </w:r>
      <w:r w:rsidR="00A31D89">
        <w:rPr>
          <w:rFonts w:ascii="IBM Plex Sans" w:hAnsi="IBM Plex Sans"/>
        </w:rPr>
        <w:t>questions</w:t>
      </w:r>
      <w:r w:rsidRPr="00CC2625">
        <w:rPr>
          <w:rFonts w:ascii="IBM Plex Sans" w:hAnsi="IBM Plex Sans"/>
        </w:rPr>
        <w:t xml:space="preserve">. </w:t>
      </w:r>
    </w:p>
    <w:p w14:paraId="3E17EF27" w14:textId="06BF1101" w:rsidR="007B3300" w:rsidRPr="00CC2625" w:rsidRDefault="007B3300" w:rsidP="007B3300">
      <w:pPr>
        <w:rPr>
          <w:rFonts w:ascii="IBM Plex Sans" w:hAnsi="IBM Plex Sans"/>
        </w:rPr>
      </w:pPr>
    </w:p>
    <w:p w14:paraId="15947855" w14:textId="7D37A932" w:rsidR="007B3300" w:rsidRPr="00CC2625" w:rsidRDefault="007B3300" w:rsidP="007B3300">
      <w:pPr>
        <w:pStyle w:val="Heading2"/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Opening </w:t>
      </w:r>
      <w:proofErr w:type="spellStart"/>
      <w:r w:rsidRPr="00CC2625">
        <w:rPr>
          <w:rFonts w:ascii="IBM Plex Sans" w:hAnsi="IBM Plex Sans"/>
        </w:rPr>
        <w:t>eLinks</w:t>
      </w:r>
      <w:proofErr w:type="spellEnd"/>
    </w:p>
    <w:p w14:paraId="59A21681" w14:textId="5BA98EAB" w:rsidR="007B3300" w:rsidRPr="00CC2625" w:rsidRDefault="007B3300" w:rsidP="007B3300">
      <w:pPr>
        <w:pStyle w:val="ListParagraph"/>
        <w:numPr>
          <w:ilvl w:val="0"/>
          <w:numId w:val="28"/>
        </w:numPr>
        <w:rPr>
          <w:rFonts w:ascii="IBM Plex Sans" w:hAnsi="IBM Plex Sans"/>
        </w:rPr>
      </w:pPr>
      <w:r w:rsidRPr="00A31D89">
        <w:rPr>
          <w:rFonts w:ascii="IBM Plex Sans" w:hAnsi="IBM Plex Sans"/>
          <w:b/>
        </w:rPr>
        <w:t>Open the email</w:t>
      </w:r>
      <w:r w:rsidRPr="00CC2625">
        <w:rPr>
          <w:rFonts w:ascii="IBM Plex Sans" w:hAnsi="IBM Plex Sans"/>
        </w:rPr>
        <w:t xml:space="preserve"> containing the </w:t>
      </w:r>
      <w:proofErr w:type="spellStart"/>
      <w:r w:rsidRPr="00CC2625">
        <w:rPr>
          <w:rFonts w:ascii="IBM Plex Sans" w:hAnsi="IBM Plex Sans"/>
        </w:rPr>
        <w:t>e</w:t>
      </w:r>
      <w:r w:rsidR="00CC2625" w:rsidRPr="00CC2625">
        <w:rPr>
          <w:rFonts w:ascii="IBM Plex Sans" w:hAnsi="IBM Plex Sans"/>
        </w:rPr>
        <w:t>L</w:t>
      </w:r>
      <w:r w:rsidRPr="00CC2625">
        <w:rPr>
          <w:rFonts w:ascii="IBM Plex Sans" w:hAnsi="IBM Plex Sans"/>
        </w:rPr>
        <w:t>ink</w:t>
      </w:r>
      <w:proofErr w:type="spellEnd"/>
      <w:r w:rsidRPr="00CC2625">
        <w:rPr>
          <w:rFonts w:ascii="IBM Plex Sans" w:hAnsi="IBM Plex Sans"/>
        </w:rPr>
        <w:t xml:space="preserve"> and read the message included by the Sender.</w:t>
      </w:r>
    </w:p>
    <w:p w14:paraId="06986BE0" w14:textId="585C102B" w:rsidR="007B3300" w:rsidRPr="00CC2625" w:rsidRDefault="007B3300" w:rsidP="007B3300">
      <w:pPr>
        <w:pStyle w:val="ListParagraph"/>
        <w:numPr>
          <w:ilvl w:val="0"/>
          <w:numId w:val="28"/>
        </w:numPr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Select the </w:t>
      </w:r>
      <w:r w:rsidRPr="00A31D89">
        <w:rPr>
          <w:rFonts w:ascii="IBM Plex Sans" w:hAnsi="IBM Plex Sans"/>
          <w:b/>
        </w:rPr>
        <w:t>candidate’s name</w:t>
      </w:r>
      <w:r w:rsidRPr="00CC2625">
        <w:rPr>
          <w:rFonts w:ascii="IBM Plex Sans" w:hAnsi="IBM Plex Sans"/>
        </w:rPr>
        <w:t xml:space="preserve"> to </w:t>
      </w:r>
      <w:r w:rsidR="00451E1D">
        <w:rPr>
          <w:rFonts w:ascii="IBM Plex Sans" w:hAnsi="IBM Plex Sans"/>
        </w:rPr>
        <w:t>open</w:t>
      </w:r>
      <w:r w:rsidRPr="00CC2625">
        <w:rPr>
          <w:rFonts w:ascii="IBM Plex Sans" w:hAnsi="IBM Plex Sans"/>
        </w:rPr>
        <w:t xml:space="preserve"> the </w:t>
      </w:r>
      <w:proofErr w:type="spellStart"/>
      <w:r w:rsidRPr="00CC2625">
        <w:rPr>
          <w:rFonts w:ascii="IBM Plex Sans" w:hAnsi="IBM Plex Sans"/>
        </w:rPr>
        <w:t>eLink</w:t>
      </w:r>
      <w:proofErr w:type="spellEnd"/>
      <w:r w:rsidRPr="00CC2625">
        <w:rPr>
          <w:rFonts w:ascii="IBM Plex Sans" w:hAnsi="IBM Plex Sans"/>
        </w:rPr>
        <w:t xml:space="preserve"> and review the candidate’s resume.</w:t>
      </w:r>
    </w:p>
    <w:p w14:paraId="206F1AC9" w14:textId="3EDC7006" w:rsidR="007B3300" w:rsidRPr="00CC2625" w:rsidRDefault="007B3300" w:rsidP="007B3300">
      <w:pPr>
        <w:jc w:val="center"/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6BC51339" wp14:editId="67B5A734">
            <wp:extent cx="13525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69D1" w14:textId="77777777" w:rsidR="009E7E46" w:rsidRPr="00CC2625" w:rsidRDefault="009E7E46" w:rsidP="009E7E46">
      <w:pPr>
        <w:rPr>
          <w:rFonts w:ascii="IBM Plex Sans" w:hAnsi="IBM Plex Sans"/>
        </w:rPr>
      </w:pPr>
    </w:p>
    <w:p w14:paraId="3760E9A5" w14:textId="72C8FB0F" w:rsidR="007B3300" w:rsidRPr="00CC2625" w:rsidRDefault="007B3300" w:rsidP="007B3300">
      <w:pPr>
        <w:pStyle w:val="Heading2"/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Reviewing </w:t>
      </w:r>
      <w:proofErr w:type="spellStart"/>
      <w:r w:rsidRPr="00CC2625">
        <w:rPr>
          <w:rFonts w:ascii="IBM Plex Sans" w:hAnsi="IBM Plex Sans"/>
        </w:rPr>
        <w:t>eLinks</w:t>
      </w:r>
      <w:proofErr w:type="spellEnd"/>
    </w:p>
    <w:p w14:paraId="3097AC5F" w14:textId="4DFB0E17" w:rsidR="007B3300" w:rsidRPr="00CC2625" w:rsidRDefault="007B3300" w:rsidP="007B3300">
      <w:pPr>
        <w:rPr>
          <w:rFonts w:ascii="IBM Plex Sans" w:hAnsi="IBM Plex Sans"/>
        </w:rPr>
      </w:pPr>
      <w:r w:rsidRPr="00CC2625">
        <w:rPr>
          <w:rFonts w:ascii="IBM Plex Sans" w:hAnsi="IBM Plex Sans"/>
        </w:rPr>
        <w:t xml:space="preserve">Select the menu items to review the information in the </w:t>
      </w:r>
      <w:proofErr w:type="spellStart"/>
      <w:r w:rsidRPr="00CC2625">
        <w:rPr>
          <w:rFonts w:ascii="IBM Plex Sans" w:hAnsi="IBM Plex Sans"/>
        </w:rPr>
        <w:t>eLink</w:t>
      </w:r>
      <w:proofErr w:type="spellEnd"/>
      <w:r w:rsidRPr="00CC2625">
        <w:rPr>
          <w:rFonts w:ascii="IBM Plex Sans" w:hAnsi="IBM Plex Sans"/>
        </w:rPr>
        <w:t xml:space="preserve">. </w:t>
      </w:r>
      <w:r w:rsidR="00CC2625" w:rsidRPr="00CC2625">
        <w:rPr>
          <w:rFonts w:ascii="IBM Plex Sans" w:hAnsi="IBM Plex Sans"/>
        </w:rPr>
        <w:t xml:space="preserve">Not all menu items might be included with the </w:t>
      </w:r>
      <w:proofErr w:type="spellStart"/>
      <w:r w:rsidR="00CC2625" w:rsidRPr="00CC2625">
        <w:rPr>
          <w:rFonts w:ascii="IBM Plex Sans" w:hAnsi="IBM Plex Sans"/>
        </w:rPr>
        <w:t>eLink</w:t>
      </w:r>
      <w:proofErr w:type="spellEnd"/>
      <w:r w:rsidR="00CC2625" w:rsidRPr="00CC2625">
        <w:rPr>
          <w:rFonts w:ascii="IBM Plex Sans" w:hAnsi="IBM Plex Sans"/>
        </w:rPr>
        <w:t>.</w:t>
      </w:r>
    </w:p>
    <w:p w14:paraId="6A7BC414" w14:textId="7470EC03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766ED3D0" wp14:editId="6E952A1F">
            <wp:extent cx="8382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5">
        <w:rPr>
          <w:rFonts w:ascii="IBM Plex Sans" w:hAnsi="IBM Plex Sans"/>
        </w:rPr>
        <w:t xml:space="preserve"> </w:t>
      </w:r>
      <w:r w:rsidR="00CC2625">
        <w:rPr>
          <w:rFonts w:ascii="IBM Plex Sans" w:hAnsi="IBM Plex Sans"/>
        </w:rPr>
        <w:tab/>
      </w:r>
      <w:r w:rsidR="00CC2625" w:rsidRPr="00CC2625">
        <w:rPr>
          <w:rFonts w:ascii="IBM Plex Sans" w:hAnsi="IBM Plex Sans"/>
        </w:rPr>
        <w:t>Opens</w:t>
      </w:r>
      <w:r w:rsidRPr="00CC2625">
        <w:rPr>
          <w:rFonts w:ascii="IBM Plex Sans" w:hAnsi="IBM Plex Sans"/>
        </w:rPr>
        <w:t xml:space="preserve"> the candidate’s resume and cover letter if the candidate included one.</w:t>
      </w:r>
    </w:p>
    <w:p w14:paraId="249133F4" w14:textId="1A5DA8FC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14C0DA09" wp14:editId="745CF4FD">
            <wp:extent cx="5905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625">
        <w:rPr>
          <w:rFonts w:ascii="IBM Plex Sans" w:hAnsi="IBM Plex Sans"/>
        </w:rPr>
        <w:tab/>
      </w:r>
      <w:r w:rsidR="00CC2625" w:rsidRPr="00CC2625">
        <w:rPr>
          <w:rFonts w:ascii="IBM Plex Sans" w:hAnsi="IBM Plex Sans"/>
        </w:rPr>
        <w:t>Opens</w:t>
      </w:r>
      <w:r w:rsidRPr="00CC2625">
        <w:rPr>
          <w:rFonts w:ascii="IBM Plex Sans" w:hAnsi="IBM Plex Sans"/>
        </w:rPr>
        <w:t xml:space="preserve"> a summary of the candidate’s contact information, education</w:t>
      </w:r>
      <w:r w:rsidR="0084785D">
        <w:rPr>
          <w:rFonts w:ascii="IBM Plex Sans" w:hAnsi="IBM Plex Sans"/>
        </w:rPr>
        <w:t>,</w:t>
      </w:r>
      <w:r w:rsidRPr="00CC2625">
        <w:rPr>
          <w:rFonts w:ascii="IBM Plex Sans" w:hAnsi="IBM Plex Sans"/>
        </w:rPr>
        <w:t xml:space="preserve"> </w:t>
      </w:r>
      <w:r w:rsidR="00CC2625" w:rsidRPr="00CC2625">
        <w:rPr>
          <w:rFonts w:ascii="IBM Plex Sans" w:hAnsi="IBM Plex Sans"/>
        </w:rPr>
        <w:t>and</w:t>
      </w:r>
      <w:r w:rsidRPr="00CC2625">
        <w:rPr>
          <w:rFonts w:ascii="IBM Plex Sans" w:hAnsi="IBM Plex Sans"/>
        </w:rPr>
        <w:t xml:space="preserve"> employment information.</w:t>
      </w:r>
    </w:p>
    <w:p w14:paraId="65C8500D" w14:textId="729C195A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45794E55" wp14:editId="55882FBC">
            <wp:extent cx="7524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5">
        <w:rPr>
          <w:rFonts w:ascii="IBM Plex Sans" w:hAnsi="IBM Plex Sans"/>
        </w:rPr>
        <w:t xml:space="preserve"> </w:t>
      </w:r>
      <w:r w:rsidR="00CC2625">
        <w:rPr>
          <w:rFonts w:ascii="IBM Plex Sans" w:hAnsi="IBM Plex Sans"/>
        </w:rPr>
        <w:tab/>
      </w:r>
      <w:r w:rsidR="00CC2625" w:rsidRPr="00CC2625">
        <w:rPr>
          <w:rFonts w:ascii="IBM Plex Sans" w:hAnsi="IBM Plex Sans"/>
        </w:rPr>
        <w:t>Opens a</w:t>
      </w:r>
      <w:r w:rsidRPr="00CC2625">
        <w:rPr>
          <w:rFonts w:ascii="IBM Plex Sans" w:hAnsi="IBM Plex Sans"/>
        </w:rPr>
        <w:t xml:space="preserve"> PDF image of the resume, </w:t>
      </w:r>
      <w:r w:rsidR="00CC2625" w:rsidRPr="00CC2625">
        <w:rPr>
          <w:rFonts w:ascii="IBM Plex Sans" w:hAnsi="IBM Plex Sans"/>
        </w:rPr>
        <w:t>if the ca</w:t>
      </w:r>
      <w:r w:rsidRPr="00CC2625">
        <w:rPr>
          <w:rFonts w:ascii="IBM Plex Sans" w:hAnsi="IBM Plex Sans"/>
        </w:rPr>
        <w:t>ndidate upload</w:t>
      </w:r>
      <w:r w:rsidR="00CC2625" w:rsidRPr="00CC2625">
        <w:rPr>
          <w:rFonts w:ascii="IBM Plex Sans" w:hAnsi="IBM Plex Sans"/>
        </w:rPr>
        <w:t>ed</w:t>
      </w:r>
      <w:r w:rsidRPr="00CC2625">
        <w:rPr>
          <w:rFonts w:ascii="IBM Plex Sans" w:hAnsi="IBM Plex Sans"/>
        </w:rPr>
        <w:t xml:space="preserve"> their resume when applying.</w:t>
      </w:r>
    </w:p>
    <w:p w14:paraId="3C6F6BA2" w14:textId="39747FF1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59BEDC28" wp14:editId="74FE10F7">
            <wp:extent cx="552450" cy="16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5">
        <w:rPr>
          <w:rFonts w:ascii="IBM Plex Sans" w:hAnsi="IBM Plex Sans"/>
        </w:rPr>
        <w:t xml:space="preserve">      </w:t>
      </w:r>
      <w:r w:rsidR="00CC2625">
        <w:rPr>
          <w:rFonts w:ascii="IBM Plex Sans" w:hAnsi="IBM Plex Sans"/>
        </w:rPr>
        <w:tab/>
      </w:r>
      <w:r w:rsidRPr="00CC2625">
        <w:rPr>
          <w:rFonts w:ascii="IBM Plex Sans" w:hAnsi="IBM Plex Sans"/>
        </w:rPr>
        <w:t xml:space="preserve">If </w:t>
      </w:r>
      <w:r w:rsidR="00CC2625">
        <w:rPr>
          <w:rFonts w:ascii="IBM Plex Sans" w:hAnsi="IBM Plex Sans"/>
        </w:rPr>
        <w:t>included</w:t>
      </w:r>
      <w:r w:rsidRPr="00CC2625">
        <w:rPr>
          <w:rFonts w:ascii="IBM Plex Sans" w:hAnsi="IBM Plex Sans"/>
        </w:rPr>
        <w:t xml:space="preserve">, </w:t>
      </w:r>
      <w:r w:rsidR="00CC2625">
        <w:rPr>
          <w:rFonts w:ascii="IBM Plex Sans" w:hAnsi="IBM Plex Sans"/>
        </w:rPr>
        <w:t xml:space="preserve">can be used to </w:t>
      </w:r>
      <w:r w:rsidRPr="00CC2625">
        <w:rPr>
          <w:rFonts w:ascii="IBM Plex Sans" w:hAnsi="IBM Plex Sans"/>
        </w:rPr>
        <w:t>check the candidate’s</w:t>
      </w:r>
      <w:r w:rsidR="00CC2625">
        <w:rPr>
          <w:rFonts w:ascii="IBM Plex Sans" w:hAnsi="IBM Plex Sans"/>
        </w:rPr>
        <w:t xml:space="preserve"> </w:t>
      </w:r>
      <w:r w:rsidRPr="00CC2625">
        <w:rPr>
          <w:rFonts w:ascii="IBM Plex Sans" w:hAnsi="IBM Plex Sans"/>
        </w:rPr>
        <w:t>HR Status</w:t>
      </w:r>
      <w:r w:rsidR="00CC2625">
        <w:rPr>
          <w:rFonts w:ascii="IBM Plex Sans" w:hAnsi="IBM Plex Sans"/>
        </w:rPr>
        <w:t>es</w:t>
      </w:r>
      <w:r w:rsidRPr="00CC2625">
        <w:rPr>
          <w:rFonts w:ascii="IBM Plex Sans" w:hAnsi="IBM Plex Sans"/>
        </w:rPr>
        <w:t>.</w:t>
      </w:r>
    </w:p>
    <w:p w14:paraId="1BF1B1D2" w14:textId="0571E3AF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0A10DD1A" wp14:editId="52443FFC">
            <wp:extent cx="3810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25">
        <w:rPr>
          <w:rFonts w:ascii="IBM Plex Sans" w:hAnsi="IBM Plex Sans"/>
        </w:rPr>
        <w:t xml:space="preserve">      </w:t>
      </w:r>
      <w:r w:rsidR="00CC2625">
        <w:rPr>
          <w:rFonts w:ascii="IBM Plex Sans" w:hAnsi="IBM Plex Sans"/>
        </w:rPr>
        <w:tab/>
        <w:t xml:space="preserve">If included, can be used to view or complete any forms, for example </w:t>
      </w:r>
      <w:r w:rsidRPr="00CC2625">
        <w:rPr>
          <w:rFonts w:ascii="IBM Plex Sans" w:hAnsi="IBM Plex Sans"/>
        </w:rPr>
        <w:t>Job Response forms.</w:t>
      </w:r>
      <w:r w:rsidR="00A736CE">
        <w:rPr>
          <w:rFonts w:ascii="IBM Plex Sans" w:hAnsi="IBM Plex Sans"/>
        </w:rPr>
        <w:t xml:space="preserve"> Forms are divided into </w:t>
      </w:r>
      <w:r w:rsidR="00A736CE" w:rsidRPr="00A736CE">
        <w:rPr>
          <w:rFonts w:ascii="IBM Plex Sans" w:hAnsi="IBM Plex Sans"/>
          <w:i/>
        </w:rPr>
        <w:t>Forms to view</w:t>
      </w:r>
      <w:r w:rsidR="00A736CE">
        <w:rPr>
          <w:rFonts w:ascii="IBM Plex Sans" w:hAnsi="IBM Plex Sans"/>
        </w:rPr>
        <w:t xml:space="preserve"> and </w:t>
      </w:r>
      <w:r w:rsidR="00A736CE" w:rsidRPr="00A736CE">
        <w:rPr>
          <w:rFonts w:ascii="IBM Plex Sans" w:hAnsi="IBM Plex Sans"/>
          <w:i/>
        </w:rPr>
        <w:t>Forms to complete</w:t>
      </w:r>
      <w:r w:rsidR="00A736CE">
        <w:rPr>
          <w:rFonts w:ascii="IBM Plex Sans" w:hAnsi="IBM Plex Sans"/>
        </w:rPr>
        <w:t xml:space="preserve"> as needed.</w:t>
      </w:r>
    </w:p>
    <w:p w14:paraId="2D3EE86D" w14:textId="2FA8A93A" w:rsidR="007B3300" w:rsidRPr="00CC2625" w:rsidRDefault="007B3300" w:rsidP="00CC2625">
      <w:pPr>
        <w:pStyle w:val="ListParagraph"/>
        <w:numPr>
          <w:ilvl w:val="0"/>
          <w:numId w:val="30"/>
        </w:numPr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43FED782" wp14:editId="60A8664F">
            <wp:extent cx="561975" cy="1905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C2625">
        <w:rPr>
          <w:rFonts w:ascii="IBM Plex Sans" w:hAnsi="IBM Plex Sans"/>
        </w:rPr>
        <w:tab/>
      </w:r>
      <w:r w:rsidR="00CC2625" w:rsidRPr="00CC2625">
        <w:rPr>
          <w:rFonts w:ascii="IBM Plex Sans" w:hAnsi="IBM Plex Sans"/>
        </w:rPr>
        <w:t>Select Respond t</w:t>
      </w:r>
      <w:r w:rsidRPr="00CC2625">
        <w:rPr>
          <w:rFonts w:ascii="IBM Plex Sans" w:hAnsi="IBM Plex Sans"/>
        </w:rPr>
        <w:t>o provide</w:t>
      </w:r>
      <w:r w:rsidR="00CC2625" w:rsidRPr="00CC2625">
        <w:rPr>
          <w:rFonts w:ascii="IBM Plex Sans" w:hAnsi="IBM Plex Sans"/>
        </w:rPr>
        <w:t xml:space="preserve"> </w:t>
      </w:r>
      <w:r w:rsidRPr="00CC2625">
        <w:rPr>
          <w:rFonts w:ascii="IBM Plex Sans" w:hAnsi="IBM Plex Sans"/>
        </w:rPr>
        <w:t>feedback</w:t>
      </w:r>
      <w:r w:rsidR="00CC2625" w:rsidRPr="00CC2625">
        <w:rPr>
          <w:rFonts w:ascii="IBM Plex Sans" w:hAnsi="IBM Plex Sans"/>
        </w:rPr>
        <w:t xml:space="preserve">. Feedback is sent to the </w:t>
      </w:r>
      <w:r w:rsidRPr="00CC2625">
        <w:rPr>
          <w:rFonts w:ascii="IBM Plex Sans" w:hAnsi="IBM Plex Sans"/>
        </w:rPr>
        <w:t>sender’s email Inbox.</w:t>
      </w:r>
    </w:p>
    <w:p w14:paraId="76DC2AB9" w14:textId="77777777" w:rsidR="00CC2625" w:rsidRPr="00CC2625" w:rsidRDefault="00CC2625" w:rsidP="007B3300">
      <w:pPr>
        <w:pStyle w:val="Heading2"/>
        <w:rPr>
          <w:rFonts w:ascii="IBM Plex Sans" w:hAnsi="IBM Plex Sans"/>
        </w:rPr>
      </w:pPr>
    </w:p>
    <w:p w14:paraId="786E8504" w14:textId="775F1CE6" w:rsidR="007B3300" w:rsidRPr="00CC2625" w:rsidRDefault="00CC2625" w:rsidP="007B3300">
      <w:pPr>
        <w:pStyle w:val="Heading2"/>
        <w:rPr>
          <w:rFonts w:ascii="IBM Plex Sans" w:hAnsi="IBM Plex Sans"/>
        </w:rPr>
      </w:pPr>
      <w:r>
        <w:rPr>
          <w:rFonts w:ascii="IBM Plex Sans" w:hAnsi="IBM Plex Sans"/>
        </w:rPr>
        <w:t xml:space="preserve">Approving Reqs by using </w:t>
      </w:r>
      <w:proofErr w:type="spellStart"/>
      <w:r>
        <w:rPr>
          <w:rFonts w:ascii="IBM Plex Sans" w:hAnsi="IBM Plex Sans"/>
        </w:rPr>
        <w:t>eLinks</w:t>
      </w:r>
      <w:proofErr w:type="spellEnd"/>
    </w:p>
    <w:p w14:paraId="43A096CF" w14:textId="04974E5E" w:rsidR="007B3300" w:rsidRPr="00CC2625" w:rsidRDefault="00CC2625" w:rsidP="00CC2625">
      <w:pPr>
        <w:pStyle w:val="ListParagraph"/>
        <w:numPr>
          <w:ilvl w:val="0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 xml:space="preserve">To approve a </w:t>
      </w:r>
      <w:proofErr w:type="spellStart"/>
      <w:r>
        <w:rPr>
          <w:rFonts w:ascii="IBM Plex Sans" w:hAnsi="IBM Plex Sans"/>
        </w:rPr>
        <w:t>req</w:t>
      </w:r>
      <w:proofErr w:type="spellEnd"/>
      <w:r>
        <w:rPr>
          <w:rFonts w:ascii="IBM Plex Sans" w:hAnsi="IBM Plex Sans"/>
        </w:rPr>
        <w:t xml:space="preserve"> by using an </w:t>
      </w:r>
      <w:proofErr w:type="spellStart"/>
      <w:r>
        <w:rPr>
          <w:rFonts w:ascii="IBM Plex Sans" w:hAnsi="IBM Plex Sans"/>
        </w:rPr>
        <w:t>eLink</w:t>
      </w:r>
      <w:proofErr w:type="spellEnd"/>
      <w:r>
        <w:rPr>
          <w:rFonts w:ascii="IBM Plex Sans" w:hAnsi="IBM Plex Sans"/>
        </w:rPr>
        <w:t xml:space="preserve">, select </w:t>
      </w:r>
      <w:r w:rsidR="00A736CE" w:rsidRPr="00A736CE">
        <w:rPr>
          <w:rFonts w:ascii="IBM Plex Sans" w:hAnsi="IBM Plex Sans"/>
          <w:b/>
        </w:rPr>
        <w:t>View requisition details</w:t>
      </w:r>
      <w:r w:rsidR="007B3300" w:rsidRPr="00CC2625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i</w:t>
      </w:r>
      <w:r w:rsidR="007B3300" w:rsidRPr="00CC2625">
        <w:rPr>
          <w:rFonts w:ascii="IBM Plex Sans" w:hAnsi="IBM Plex Sans"/>
        </w:rPr>
        <w:t xml:space="preserve">n </w:t>
      </w:r>
      <w:r>
        <w:rPr>
          <w:rFonts w:ascii="IBM Plex Sans" w:hAnsi="IBM Plex Sans"/>
        </w:rPr>
        <w:t>the em</w:t>
      </w:r>
      <w:r w:rsidR="007B3300" w:rsidRPr="00CC2625">
        <w:rPr>
          <w:rFonts w:ascii="IBM Plex Sans" w:hAnsi="IBM Plex Sans"/>
        </w:rPr>
        <w:t>ail:</w:t>
      </w:r>
    </w:p>
    <w:p w14:paraId="02C66C07" w14:textId="61A30375" w:rsidR="007B3300" w:rsidRPr="00CC2625" w:rsidRDefault="007B3300" w:rsidP="007B3300">
      <w:pPr>
        <w:spacing w:after="80"/>
        <w:jc w:val="center"/>
        <w:rPr>
          <w:rFonts w:ascii="IBM Plex Sans" w:hAnsi="IBM Plex Sans"/>
        </w:rPr>
      </w:pPr>
      <w:r w:rsidRPr="00CC2625">
        <w:rPr>
          <w:rFonts w:ascii="IBM Plex Sans" w:hAnsi="IBM Plex Sans"/>
          <w:noProof/>
        </w:rPr>
        <w:drawing>
          <wp:inline distT="0" distB="0" distL="0" distR="0" wp14:anchorId="76005674" wp14:editId="3FCA48A3">
            <wp:extent cx="1796342" cy="1036624"/>
            <wp:effectExtent l="19050" t="19050" r="1397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62" cy="10393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46DF942" w14:textId="61C78AF7" w:rsidR="00A736CE" w:rsidRDefault="00A736CE" w:rsidP="00CC2625">
      <w:pPr>
        <w:pStyle w:val="ListParagraph"/>
        <w:numPr>
          <w:ilvl w:val="0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>The Req opens in a browser window.</w:t>
      </w:r>
    </w:p>
    <w:p w14:paraId="3C3D6998" w14:textId="1237500D" w:rsidR="00A736CE" w:rsidRDefault="0084785D" w:rsidP="00A736CE">
      <w:pPr>
        <w:pStyle w:val="ListParagraph"/>
        <w:numPr>
          <w:ilvl w:val="1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 xml:space="preserve">Enter a message into the </w:t>
      </w:r>
      <w:r w:rsidR="007B3300" w:rsidRPr="00A736CE">
        <w:rPr>
          <w:rFonts w:ascii="IBM Plex Sans" w:hAnsi="IBM Plex Sans"/>
          <w:i/>
        </w:rPr>
        <w:t>Messa</w:t>
      </w:r>
      <w:r>
        <w:rPr>
          <w:rFonts w:ascii="IBM Plex Sans" w:hAnsi="IBM Plex Sans"/>
          <w:i/>
        </w:rPr>
        <w:t xml:space="preserve">ge </w:t>
      </w:r>
      <w:r w:rsidR="007B3300" w:rsidRPr="0084785D">
        <w:rPr>
          <w:rFonts w:ascii="IBM Plex Sans" w:hAnsi="IBM Plex Sans"/>
          <w:i/>
        </w:rPr>
        <w:t>text field</w:t>
      </w:r>
      <w:r w:rsidR="007B3300" w:rsidRPr="00CC2625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t</w:t>
      </w:r>
      <w:r w:rsidR="007B3300" w:rsidRPr="00CC2625">
        <w:rPr>
          <w:rFonts w:ascii="IBM Plex Sans" w:hAnsi="IBM Plex Sans"/>
        </w:rPr>
        <w:t xml:space="preserve">o send a message </w:t>
      </w:r>
      <w:r w:rsidR="007B3300" w:rsidRPr="00A736CE">
        <w:rPr>
          <w:rFonts w:ascii="IBM Plex Sans" w:hAnsi="IBM Plex Sans"/>
        </w:rPr>
        <w:t>to the next approver</w:t>
      </w:r>
      <w:r w:rsidR="007B3300" w:rsidRPr="00CC2625">
        <w:rPr>
          <w:rFonts w:ascii="IBM Plex Sans" w:hAnsi="IBM Plex Sans"/>
        </w:rPr>
        <w:t xml:space="preserve">. </w:t>
      </w:r>
    </w:p>
    <w:p w14:paraId="112B0071" w14:textId="0566F84C" w:rsidR="007B3300" w:rsidRPr="00CC2625" w:rsidRDefault="00A736CE" w:rsidP="00A736CE">
      <w:pPr>
        <w:pStyle w:val="ListParagraph"/>
        <w:numPr>
          <w:ilvl w:val="1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>T</w:t>
      </w:r>
      <w:r w:rsidR="007B3300" w:rsidRPr="00CC2625">
        <w:rPr>
          <w:rFonts w:ascii="IBM Plex Sans" w:hAnsi="IBM Plex Sans"/>
        </w:rPr>
        <w:t xml:space="preserve">he </w:t>
      </w:r>
      <w:r w:rsidR="007B3300" w:rsidRPr="00A736CE">
        <w:rPr>
          <w:rFonts w:ascii="IBM Plex Sans" w:hAnsi="IBM Plex Sans"/>
          <w:i/>
        </w:rPr>
        <w:t>Req notes</w:t>
      </w:r>
      <w:r w:rsidR="007B3300" w:rsidRPr="00CC2625">
        <w:rPr>
          <w:rFonts w:ascii="IBM Plex Sans" w:hAnsi="IBM Plex Sans"/>
        </w:rPr>
        <w:t xml:space="preserve"> field should </w:t>
      </w:r>
      <w:r>
        <w:rPr>
          <w:rFonts w:ascii="IBM Plex Sans" w:hAnsi="IBM Plex Sans"/>
        </w:rPr>
        <w:t>be used to</w:t>
      </w:r>
      <w:r w:rsidR="007B3300" w:rsidRPr="00CC2625">
        <w:rPr>
          <w:rFonts w:ascii="IBM Plex Sans" w:hAnsi="IBM Plex Sans"/>
        </w:rPr>
        <w:t xml:space="preserve"> indicate what need</w:t>
      </w:r>
      <w:r>
        <w:rPr>
          <w:rFonts w:ascii="IBM Plex Sans" w:hAnsi="IBM Plex Sans"/>
        </w:rPr>
        <w:t>s</w:t>
      </w:r>
      <w:r w:rsidR="007B3300" w:rsidRPr="00CC2625">
        <w:rPr>
          <w:rFonts w:ascii="IBM Plex Sans" w:hAnsi="IBM Plex Sans"/>
        </w:rPr>
        <w:t xml:space="preserve"> to be edited on the </w:t>
      </w:r>
      <w:proofErr w:type="spellStart"/>
      <w:r w:rsidR="007B3300" w:rsidRPr="00CC2625">
        <w:rPr>
          <w:rFonts w:ascii="IBM Plex Sans" w:hAnsi="IBM Plex Sans"/>
        </w:rPr>
        <w:t>req</w:t>
      </w:r>
      <w:proofErr w:type="spellEnd"/>
      <w:r w:rsidR="007B3300" w:rsidRPr="00CC2625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before it is</w:t>
      </w:r>
      <w:r w:rsidR="007B3300" w:rsidRPr="00CC2625">
        <w:rPr>
          <w:rFonts w:ascii="IBM Plex Sans" w:hAnsi="IBM Plex Sans"/>
        </w:rPr>
        <w:t xml:space="preserve"> posted.</w:t>
      </w:r>
    </w:p>
    <w:p w14:paraId="39BCB5DC" w14:textId="41DAB648" w:rsidR="007B3300" w:rsidRPr="00CC2625" w:rsidRDefault="00A736CE" w:rsidP="00A736CE">
      <w:pPr>
        <w:pStyle w:val="ListParagraph"/>
        <w:numPr>
          <w:ilvl w:val="0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 xml:space="preserve">Select either </w:t>
      </w:r>
      <w:r w:rsidRPr="00A736CE">
        <w:rPr>
          <w:rFonts w:ascii="IBM Plex Sans" w:hAnsi="IBM Plex Sans"/>
          <w:b/>
        </w:rPr>
        <w:t>Approve</w:t>
      </w:r>
      <w:r>
        <w:rPr>
          <w:rFonts w:ascii="IBM Plex Sans" w:hAnsi="IBM Plex Sans"/>
        </w:rPr>
        <w:t xml:space="preserve"> or </w:t>
      </w:r>
      <w:r w:rsidRPr="00A736CE">
        <w:rPr>
          <w:rFonts w:ascii="IBM Plex Sans" w:hAnsi="IBM Plex Sans"/>
          <w:b/>
        </w:rPr>
        <w:t>Decline</w:t>
      </w:r>
      <w:r>
        <w:rPr>
          <w:rFonts w:ascii="IBM Plex Sans" w:hAnsi="IBM Plex Sans"/>
        </w:rPr>
        <w:t xml:space="preserve"> as needed.</w:t>
      </w:r>
    </w:p>
    <w:p w14:paraId="17999C5B" w14:textId="5EC6730B" w:rsidR="007B3300" w:rsidRPr="00CC2625" w:rsidRDefault="00A736CE" w:rsidP="00A736CE">
      <w:pPr>
        <w:pStyle w:val="ListParagraph"/>
        <w:numPr>
          <w:ilvl w:val="0"/>
          <w:numId w:val="31"/>
        </w:numPr>
        <w:spacing w:after="80"/>
        <w:rPr>
          <w:rFonts w:ascii="IBM Plex Sans" w:hAnsi="IBM Plex Sans"/>
        </w:rPr>
      </w:pPr>
      <w:r>
        <w:rPr>
          <w:rFonts w:ascii="IBM Plex Sans" w:hAnsi="IBM Plex Sans"/>
        </w:rPr>
        <w:t>Select</w:t>
      </w:r>
      <w:r w:rsidR="007B3300" w:rsidRPr="00CC2625">
        <w:rPr>
          <w:rFonts w:ascii="IBM Plex Sans" w:hAnsi="IBM Plex Sans"/>
        </w:rPr>
        <w:t xml:space="preserve"> </w:t>
      </w:r>
      <w:bookmarkStart w:id="0" w:name="_GoBack"/>
      <w:r w:rsidR="007B3300" w:rsidRPr="00CC2625">
        <w:rPr>
          <w:rFonts w:ascii="IBM Plex Sans" w:hAnsi="IBM Plex Sans"/>
          <w:b/>
        </w:rPr>
        <w:t>OK</w:t>
      </w:r>
      <w:r>
        <w:rPr>
          <w:rFonts w:ascii="IBM Plex Sans" w:hAnsi="IBM Plex Sans"/>
          <w:b/>
        </w:rPr>
        <w:t>.</w:t>
      </w:r>
      <w:bookmarkEnd w:id="0"/>
    </w:p>
    <w:sectPr w:rsidR="007B3300" w:rsidRPr="00CC2625" w:rsidSect="002A4C52">
      <w:headerReference w:type="even" r:id="rId17"/>
      <w:headerReference w:type="default" r:id="rId1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5DF2" w14:textId="77777777" w:rsidR="00745899" w:rsidRDefault="00745899" w:rsidP="009816A3">
      <w:pPr>
        <w:spacing w:line="240" w:lineRule="auto"/>
      </w:pPr>
      <w:r>
        <w:separator/>
      </w:r>
    </w:p>
  </w:endnote>
  <w:endnote w:type="continuationSeparator" w:id="0">
    <w:p w14:paraId="27D40332" w14:textId="77777777" w:rsidR="00745899" w:rsidRDefault="00745899" w:rsidP="00981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000000000"/>
    <w:charset w:val="00"/>
    <w:family w:val="swiss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E0B2" w14:textId="77777777" w:rsidR="00745899" w:rsidRDefault="00745899" w:rsidP="009816A3">
      <w:pPr>
        <w:spacing w:line="240" w:lineRule="auto"/>
      </w:pPr>
      <w:r>
        <w:separator/>
      </w:r>
    </w:p>
  </w:footnote>
  <w:footnote w:type="continuationSeparator" w:id="0">
    <w:p w14:paraId="06D50B81" w14:textId="77777777" w:rsidR="00745899" w:rsidRDefault="00745899" w:rsidP="00981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7BA" w14:textId="77777777" w:rsidR="00AD0EA4" w:rsidRDefault="00AD0EA4" w:rsidP="00AC2A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5550B" w14:textId="77777777" w:rsidR="00AD0EA4" w:rsidRDefault="00AD0EA4" w:rsidP="00AD0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1F1" w14:textId="7B08D372" w:rsidR="009816A3" w:rsidRPr="00B417AD" w:rsidRDefault="009816A3" w:rsidP="00A736CE">
    <w:pPr>
      <w:pStyle w:val="Header"/>
      <w:tabs>
        <w:tab w:val="clear" w:pos="4513"/>
        <w:tab w:val="clear" w:pos="9026"/>
        <w:tab w:val="left" w:pos="1306"/>
      </w:tabs>
      <w:spacing w:line="720" w:lineRule="auto"/>
      <w:ind w:right="360"/>
      <w:rPr>
        <w:rFonts w:ascii="IBM Plex Sans" w:hAnsi="IBM Plex Sans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9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F62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3E2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463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F8C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96A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0A9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A86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E6C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26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5E2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97C32"/>
    <w:multiLevelType w:val="hybridMultilevel"/>
    <w:tmpl w:val="CB2E4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E08C2"/>
    <w:multiLevelType w:val="multilevel"/>
    <w:tmpl w:val="28C0BDE6"/>
    <w:lvl w:ilvl="0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42D3B"/>
    <w:multiLevelType w:val="hybridMultilevel"/>
    <w:tmpl w:val="FB14E234"/>
    <w:lvl w:ilvl="0" w:tplc="3FB21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A7E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4D679C"/>
    <w:multiLevelType w:val="hybridMultilevel"/>
    <w:tmpl w:val="2954F166"/>
    <w:lvl w:ilvl="0" w:tplc="75CC871E">
      <w:start w:val="1"/>
      <w:numFmt w:val="bullet"/>
      <w:pStyle w:val="ListParagraph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C0899"/>
    <w:multiLevelType w:val="hybridMultilevel"/>
    <w:tmpl w:val="7D4C6696"/>
    <w:lvl w:ilvl="0" w:tplc="3FB21E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EDA10D8">
      <w:start w:val="1"/>
      <w:numFmt w:val="bullet"/>
      <w:lvlText w:val="o"/>
      <w:lvlJc w:val="left"/>
      <w:pPr>
        <w:ind w:left="737" w:hanging="28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41561"/>
    <w:multiLevelType w:val="hybridMultilevel"/>
    <w:tmpl w:val="A538E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B5C3D"/>
    <w:multiLevelType w:val="hybridMultilevel"/>
    <w:tmpl w:val="A696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0EEA"/>
    <w:multiLevelType w:val="multilevel"/>
    <w:tmpl w:val="0809001D"/>
    <w:styleLink w:val="IBMTMSList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A142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955275"/>
    <w:multiLevelType w:val="hybridMultilevel"/>
    <w:tmpl w:val="51A484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675D5"/>
    <w:multiLevelType w:val="multilevel"/>
    <w:tmpl w:val="0809001D"/>
    <w:numStyleLink w:val="Style1"/>
  </w:abstractNum>
  <w:abstractNum w:abstractNumId="23" w15:restartNumberingAfterBreak="0">
    <w:nsid w:val="4FBB7070"/>
    <w:multiLevelType w:val="hybridMultilevel"/>
    <w:tmpl w:val="B7C487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71FF5"/>
    <w:multiLevelType w:val="hybridMultilevel"/>
    <w:tmpl w:val="5A8AC2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634"/>
    <w:multiLevelType w:val="hybridMultilevel"/>
    <w:tmpl w:val="912A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D0F"/>
    <w:multiLevelType w:val="multilevel"/>
    <w:tmpl w:val="AC64202A"/>
    <w:lvl w:ilvl="0">
      <w:start w:val="1"/>
      <w:numFmt w:val="decimal"/>
      <w:lvlText w:val="Chapter %1:"/>
      <w:lvlJc w:val="left"/>
      <w:pPr>
        <w:ind w:left="360" w:hanging="360"/>
      </w:pPr>
      <w:rPr>
        <w:rFonts w:ascii="Arial Bold" w:hAnsi="Arial Bold" w:hint="default"/>
        <w:b/>
        <w:i w:val="0"/>
        <w:color w:val="16647E"/>
        <w:sz w:val="32"/>
        <w:u w:val="none"/>
      </w:rPr>
    </w:lvl>
    <w:lvl w:ilvl="1">
      <w:start w:val="1"/>
      <w:numFmt w:val="decimal"/>
      <w:isLgl/>
      <w:lvlText w:val="%2.%1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2" w:hanging="30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362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62244B"/>
    <w:multiLevelType w:val="hybridMultilevel"/>
    <w:tmpl w:val="0FEE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866"/>
    <w:multiLevelType w:val="multilevel"/>
    <w:tmpl w:val="0809001D"/>
    <w:numStyleLink w:val="Style1"/>
  </w:abstractNum>
  <w:abstractNum w:abstractNumId="29" w15:restartNumberingAfterBreak="0">
    <w:nsid w:val="7ACE10CE"/>
    <w:multiLevelType w:val="multilevel"/>
    <w:tmpl w:val="DDA0CF9A"/>
    <w:lvl w:ilvl="0">
      <w:start w:val="1"/>
      <w:numFmt w:val="decimal"/>
      <w:lvlText w:val="Chapter %1:"/>
      <w:lvlJc w:val="left"/>
      <w:pPr>
        <w:ind w:left="360" w:hanging="360"/>
      </w:pPr>
      <w:rPr>
        <w:rFonts w:ascii="Arial Bold" w:hAnsi="Arial Bold" w:hint="default"/>
        <w:b/>
        <w:i w:val="0"/>
        <w:color w:val="16647E"/>
        <w:sz w:val="3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29"/>
  </w:num>
  <w:num w:numId="18">
    <w:abstractNumId w:val="26"/>
  </w:num>
  <w:num w:numId="19">
    <w:abstractNumId w:val="28"/>
  </w:num>
  <w:num w:numId="20">
    <w:abstractNumId w:val="19"/>
  </w:num>
  <w:num w:numId="21">
    <w:abstractNumId w:val="20"/>
  </w:num>
  <w:num w:numId="22">
    <w:abstractNumId w:val="14"/>
  </w:num>
  <w:num w:numId="23">
    <w:abstractNumId w:val="22"/>
  </w:num>
  <w:num w:numId="24">
    <w:abstractNumId w:val="13"/>
  </w:num>
  <w:num w:numId="25">
    <w:abstractNumId w:val="21"/>
  </w:num>
  <w:num w:numId="26">
    <w:abstractNumId w:val="27"/>
  </w:num>
  <w:num w:numId="27">
    <w:abstractNumId w:val="24"/>
  </w:num>
  <w:num w:numId="28">
    <w:abstractNumId w:val="23"/>
  </w:num>
  <w:num w:numId="29">
    <w:abstractNumId w:val="15"/>
  </w:num>
  <w:num w:numId="30">
    <w:abstractNumId w:val="17"/>
  </w:num>
  <w:num w:numId="31">
    <w:abstractNumId w:val="11"/>
  </w:num>
  <w:num w:numId="32">
    <w:abstractNumId w:val="15"/>
  </w:num>
  <w:num w:numId="33">
    <w:abstractNumId w:val="1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D61F6"/>
    <w:rsid w:val="0010444B"/>
    <w:rsid w:val="00112F52"/>
    <w:rsid w:val="0014411C"/>
    <w:rsid w:val="00170C79"/>
    <w:rsid w:val="001F67DB"/>
    <w:rsid w:val="00207E03"/>
    <w:rsid w:val="002877F1"/>
    <w:rsid w:val="002A4C52"/>
    <w:rsid w:val="00317BE5"/>
    <w:rsid w:val="003621AA"/>
    <w:rsid w:val="003810EB"/>
    <w:rsid w:val="00387275"/>
    <w:rsid w:val="003D4DBF"/>
    <w:rsid w:val="003E7321"/>
    <w:rsid w:val="00451E1D"/>
    <w:rsid w:val="004F4785"/>
    <w:rsid w:val="0050657E"/>
    <w:rsid w:val="005C3EE4"/>
    <w:rsid w:val="006116AD"/>
    <w:rsid w:val="006364DB"/>
    <w:rsid w:val="006764BD"/>
    <w:rsid w:val="00676A83"/>
    <w:rsid w:val="00700D78"/>
    <w:rsid w:val="00745899"/>
    <w:rsid w:val="007B3300"/>
    <w:rsid w:val="007B4E7C"/>
    <w:rsid w:val="0084785D"/>
    <w:rsid w:val="008C4D41"/>
    <w:rsid w:val="00930410"/>
    <w:rsid w:val="009816A3"/>
    <w:rsid w:val="009B5DCF"/>
    <w:rsid w:val="009E7E46"/>
    <w:rsid w:val="00A10B4E"/>
    <w:rsid w:val="00A31D89"/>
    <w:rsid w:val="00A33FD8"/>
    <w:rsid w:val="00A736CE"/>
    <w:rsid w:val="00A85972"/>
    <w:rsid w:val="00AD0EA4"/>
    <w:rsid w:val="00B417AD"/>
    <w:rsid w:val="00BC1754"/>
    <w:rsid w:val="00BC3D65"/>
    <w:rsid w:val="00BD028C"/>
    <w:rsid w:val="00C319DE"/>
    <w:rsid w:val="00C54494"/>
    <w:rsid w:val="00CC2625"/>
    <w:rsid w:val="00CF4453"/>
    <w:rsid w:val="00D55B5C"/>
    <w:rsid w:val="00DA79D3"/>
    <w:rsid w:val="00DF1A2B"/>
    <w:rsid w:val="00E12185"/>
    <w:rsid w:val="00E22977"/>
    <w:rsid w:val="00E42BD9"/>
    <w:rsid w:val="00EC2813"/>
    <w:rsid w:val="00F22371"/>
    <w:rsid w:val="00F549F2"/>
    <w:rsid w:val="00F80603"/>
    <w:rsid w:val="00F869A4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4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FC2455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DB"/>
    <w:pPr>
      <w:keepNext/>
      <w:keepLines/>
      <w:pBdr>
        <w:bottom w:val="single" w:sz="12" w:space="1" w:color="auto"/>
      </w:pBdr>
      <w:spacing w:before="240"/>
      <w:outlineLvl w:val="0"/>
    </w:pPr>
    <w:rPr>
      <w:rFonts w:eastAsiaTheme="majorEastAsia" w:cstheme="majorBidi"/>
      <w:b/>
      <w:bCs/>
      <w:color w:val="17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EA4"/>
    <w:pPr>
      <w:keepNext/>
      <w:keepLines/>
      <w:spacing w:before="40" w:after="80"/>
      <w:outlineLvl w:val="1"/>
    </w:pPr>
    <w:rPr>
      <w:rFonts w:eastAsiaTheme="majorEastAsia" w:cstheme="majorBidi"/>
      <w:b/>
      <w:bCs/>
      <w:color w:val="1764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4BD"/>
    <w:pPr>
      <w:keepNext/>
      <w:keepLines/>
      <w:spacing w:before="40"/>
      <w:outlineLvl w:val="2"/>
    </w:pPr>
    <w:rPr>
      <w:rFonts w:eastAsiaTheme="majorEastAsia" w:cstheme="majorBidi"/>
      <w:b/>
      <w:bCs/>
      <w:color w:val="1764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603"/>
    <w:pPr>
      <w:keepNext/>
      <w:keepLines/>
      <w:spacing w:before="40"/>
      <w:outlineLvl w:val="3"/>
    </w:pPr>
    <w:rPr>
      <w:rFonts w:eastAsiaTheme="majorEastAsia" w:cstheme="majorBidi"/>
      <w:i/>
      <w:iCs/>
      <w:color w:val="17647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603"/>
    <w:pPr>
      <w:keepNext/>
      <w:keepLines/>
      <w:spacing w:before="40"/>
      <w:outlineLvl w:val="4"/>
    </w:pPr>
    <w:rPr>
      <w:rFonts w:eastAsiaTheme="majorEastAsia" w:cstheme="majorBidi"/>
      <w:b/>
      <w:color w:val="17647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603"/>
    <w:pPr>
      <w:keepNext/>
      <w:keepLines/>
      <w:spacing w:before="40"/>
      <w:outlineLvl w:val="5"/>
    </w:pPr>
    <w:rPr>
      <w:rFonts w:eastAsiaTheme="majorEastAsia" w:cstheme="majorBidi"/>
      <w:color w:val="1764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A3"/>
  </w:style>
  <w:style w:type="paragraph" w:styleId="Footer">
    <w:name w:val="footer"/>
    <w:basedOn w:val="Normal"/>
    <w:link w:val="FooterChar"/>
    <w:uiPriority w:val="99"/>
    <w:unhideWhenUsed/>
    <w:rsid w:val="00981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A3"/>
  </w:style>
  <w:style w:type="paragraph" w:styleId="Title">
    <w:name w:val="Title"/>
    <w:basedOn w:val="Normal"/>
    <w:next w:val="Normal"/>
    <w:link w:val="TitleChar"/>
    <w:uiPriority w:val="10"/>
    <w:qFormat/>
    <w:rsid w:val="002A4C52"/>
    <w:pPr>
      <w:contextualSpacing/>
    </w:pPr>
    <w:rPr>
      <w:rFonts w:eastAsiaTheme="majorEastAsia" w:cstheme="majorBidi"/>
      <w:b/>
      <w:bCs/>
      <w:color w:val="17647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C52"/>
    <w:rPr>
      <w:rFonts w:ascii="Arial" w:eastAsiaTheme="majorEastAsia" w:hAnsi="Arial" w:cstheme="majorBidi"/>
      <w:b/>
      <w:bCs/>
      <w:color w:val="17647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94"/>
    <w:pPr>
      <w:numPr>
        <w:ilvl w:val="1"/>
      </w:numPr>
      <w:spacing w:after="160"/>
    </w:pPr>
    <w:rPr>
      <w:rFonts w:eastAsiaTheme="minorEastAsia"/>
      <w:color w:val="808080" w:themeColor="background1" w:themeShade="8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4494"/>
    <w:rPr>
      <w:rFonts w:ascii="Arial" w:eastAsiaTheme="minorEastAsia" w:hAnsi="Arial"/>
      <w:color w:val="808080" w:themeColor="background1" w:themeShade="80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EA4"/>
    <w:rPr>
      <w:rFonts w:ascii="Arial" w:eastAsiaTheme="majorEastAsia" w:hAnsi="Arial" w:cstheme="majorBidi"/>
      <w:b/>
      <w:bCs/>
      <w:color w:val="1764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4BD"/>
    <w:rPr>
      <w:rFonts w:ascii="Arial" w:eastAsiaTheme="majorEastAsia" w:hAnsi="Arial" w:cstheme="majorBidi"/>
      <w:b/>
      <w:bCs/>
      <w:color w:val="17647E"/>
    </w:rPr>
  </w:style>
  <w:style w:type="character" w:customStyle="1" w:styleId="Heading4Char">
    <w:name w:val="Heading 4 Char"/>
    <w:basedOn w:val="DefaultParagraphFont"/>
    <w:link w:val="Heading4"/>
    <w:uiPriority w:val="9"/>
    <w:rsid w:val="00F80603"/>
    <w:rPr>
      <w:rFonts w:ascii="Arial" w:eastAsiaTheme="majorEastAsia" w:hAnsi="Arial" w:cstheme="majorBidi"/>
      <w:i/>
      <w:iCs/>
      <w:color w:val="17647E"/>
    </w:rPr>
  </w:style>
  <w:style w:type="character" w:customStyle="1" w:styleId="Heading5Char">
    <w:name w:val="Heading 5 Char"/>
    <w:basedOn w:val="DefaultParagraphFont"/>
    <w:link w:val="Heading5"/>
    <w:uiPriority w:val="9"/>
    <w:rsid w:val="00F80603"/>
    <w:rPr>
      <w:rFonts w:ascii="Arial" w:eastAsiaTheme="majorEastAsia" w:hAnsi="Arial" w:cstheme="majorBidi"/>
      <w:b/>
      <w:color w:val="17647E"/>
      <w:sz w:val="20"/>
    </w:rPr>
  </w:style>
  <w:style w:type="paragraph" w:styleId="NoSpacing">
    <w:name w:val="No Spacing"/>
    <w:uiPriority w:val="1"/>
    <w:qFormat/>
    <w:rsid w:val="00F8060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364DB"/>
    <w:rPr>
      <w:rFonts w:ascii="Arial" w:eastAsiaTheme="majorEastAsia" w:hAnsi="Arial" w:cstheme="majorBidi"/>
      <w:b/>
      <w:bCs/>
      <w:color w:val="17647E"/>
      <w:sz w:val="32"/>
      <w:szCs w:val="32"/>
    </w:rPr>
  </w:style>
  <w:style w:type="paragraph" w:customStyle="1" w:styleId="Smallnote">
    <w:name w:val="Small note"/>
    <w:basedOn w:val="NoSpacing"/>
    <w:qFormat/>
    <w:rsid w:val="00C54494"/>
    <w:rPr>
      <w:rFonts w:cs="Arial"/>
      <w:i/>
      <w:color w:val="000000" w:themeColor="text1"/>
      <w:sz w:val="20"/>
      <w:szCs w:val="20"/>
      <w:lang w:val="en-US"/>
    </w:rPr>
  </w:style>
  <w:style w:type="paragraph" w:customStyle="1" w:styleId="Footertext">
    <w:name w:val="Footer text"/>
    <w:basedOn w:val="Footer"/>
    <w:qFormat/>
    <w:rsid w:val="00170C79"/>
    <w:rPr>
      <w:rFonts w:cs="Arial"/>
      <w:sz w:val="16"/>
      <w:szCs w:val="16"/>
    </w:rPr>
  </w:style>
  <w:style w:type="paragraph" w:customStyle="1" w:styleId="Headertext">
    <w:name w:val="Header text"/>
    <w:basedOn w:val="Header"/>
    <w:qFormat/>
    <w:rsid w:val="00170C79"/>
    <w:pPr>
      <w:tabs>
        <w:tab w:val="clear" w:pos="4513"/>
        <w:tab w:val="clear" w:pos="9026"/>
        <w:tab w:val="left" w:pos="1306"/>
      </w:tabs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6364DB"/>
    <w:pPr>
      <w:numPr>
        <w:numId w:val="13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7BE5"/>
    <w:pPr>
      <w:spacing w:before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7BE5"/>
    <w:pPr>
      <w:tabs>
        <w:tab w:val="right" w:leader="dot" w:pos="10450"/>
      </w:tabs>
      <w:ind w:left="200"/>
    </w:pPr>
    <w:rPr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0603"/>
    <w:pPr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80603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603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603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603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603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603"/>
    <w:pPr>
      <w:ind w:left="1600"/>
    </w:pPr>
    <w:rPr>
      <w:szCs w:val="20"/>
    </w:rPr>
  </w:style>
  <w:style w:type="paragraph" w:customStyle="1" w:styleId="Heading1-ExcludedfromTOC">
    <w:name w:val="Heading 1 - Excluded from TOC"/>
    <w:basedOn w:val="Heading1"/>
    <w:qFormat/>
    <w:rsid w:val="00AD0EA4"/>
  </w:style>
  <w:style w:type="character" w:styleId="PageNumber">
    <w:name w:val="page number"/>
    <w:basedOn w:val="DefaultParagraphFont"/>
    <w:uiPriority w:val="99"/>
    <w:semiHidden/>
    <w:unhideWhenUsed/>
    <w:rsid w:val="00AD0EA4"/>
  </w:style>
  <w:style w:type="character" w:customStyle="1" w:styleId="Heading6Char">
    <w:name w:val="Heading 6 Char"/>
    <w:basedOn w:val="DefaultParagraphFont"/>
    <w:link w:val="Heading6"/>
    <w:uiPriority w:val="9"/>
    <w:semiHidden/>
    <w:rsid w:val="00F80603"/>
    <w:rPr>
      <w:rFonts w:ascii="Arial" w:eastAsiaTheme="majorEastAsia" w:hAnsi="Arial" w:cstheme="majorBidi"/>
      <w:color w:val="17647E"/>
      <w:sz w:val="20"/>
    </w:rPr>
  </w:style>
  <w:style w:type="character" w:styleId="IntenseEmphasis">
    <w:name w:val="Intense Emphasis"/>
    <w:basedOn w:val="DefaultParagraphFont"/>
    <w:uiPriority w:val="21"/>
    <w:qFormat/>
    <w:rsid w:val="00F80603"/>
    <w:rPr>
      <w:rFonts w:ascii="Arial" w:hAnsi="Arial"/>
      <w:i/>
      <w:iCs/>
      <w:color w:val="17647E"/>
      <w:sz w:val="20"/>
    </w:rPr>
  </w:style>
  <w:style w:type="character" w:styleId="SubtleEmphasis">
    <w:name w:val="Subtle Emphasis"/>
    <w:basedOn w:val="DefaultParagraphFont"/>
    <w:uiPriority w:val="19"/>
    <w:qFormat/>
    <w:rsid w:val="00F80603"/>
    <w:rPr>
      <w:rFonts w:ascii="Arial" w:hAnsi="Arial"/>
      <w:i/>
      <w:iCs/>
      <w:color w:val="808080" w:themeColor="background1" w:themeShade="80"/>
      <w:sz w:val="32"/>
    </w:rPr>
  </w:style>
  <w:style w:type="character" w:styleId="Strong">
    <w:name w:val="Strong"/>
    <w:basedOn w:val="DefaultParagraphFont"/>
    <w:uiPriority w:val="22"/>
    <w:qFormat/>
    <w:rsid w:val="00F80603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764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603"/>
    <w:rPr>
      <w:rFonts w:ascii="Arial" w:hAnsi="Arial"/>
      <w:i/>
      <w:iCs/>
      <w:color w:val="17647E"/>
      <w:sz w:val="20"/>
    </w:rPr>
  </w:style>
  <w:style w:type="character" w:styleId="SubtleReference">
    <w:name w:val="Subtle Reference"/>
    <w:basedOn w:val="DefaultParagraphFont"/>
    <w:uiPriority w:val="31"/>
    <w:qFormat/>
    <w:rsid w:val="00F80603"/>
    <w:rPr>
      <w:rFonts w:ascii="Arial" w:hAnsi="Arial"/>
      <w:smallCaps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F80603"/>
    <w:rPr>
      <w:rFonts w:ascii="Arial" w:hAnsi="Arial"/>
      <w:b/>
      <w:bCs/>
      <w:smallCaps/>
      <w:color w:val="17647E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F80603"/>
    <w:rPr>
      <w:rFonts w:ascii="Arial" w:hAnsi="Arial"/>
      <w:b/>
      <w:bCs/>
      <w:i/>
      <w:iCs/>
      <w:spacing w:val="5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9E7E46"/>
    <w:pPr>
      <w:ind w:left="400" w:hanging="400"/>
    </w:pPr>
  </w:style>
  <w:style w:type="numbering" w:customStyle="1" w:styleId="IBMTMSList1">
    <w:name w:val="IBM TMS List 1"/>
    <w:uiPriority w:val="99"/>
    <w:rsid w:val="00700D78"/>
    <w:pPr>
      <w:numPr>
        <w:numId w:val="20"/>
      </w:numPr>
    </w:pPr>
  </w:style>
  <w:style w:type="numbering" w:customStyle="1" w:styleId="Style1">
    <w:name w:val="Style1"/>
    <w:uiPriority w:val="99"/>
    <w:rsid w:val="00700D78"/>
    <w:pPr>
      <w:numPr>
        <w:numId w:val="22"/>
      </w:numPr>
    </w:pPr>
  </w:style>
  <w:style w:type="paragraph" w:customStyle="1" w:styleId="BodyTextLeft">
    <w:name w:val="Body Text Left"/>
    <w:basedOn w:val="Normal"/>
    <w:qFormat/>
    <w:rsid w:val="0010444B"/>
    <w:pPr>
      <w:spacing w:before="60" w:after="60" w:line="240" w:lineRule="auto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rsid w:val="007B3300"/>
    <w:pPr>
      <w:spacing w:line="240" w:lineRule="auto"/>
      <w:jc w:val="center"/>
    </w:pPr>
    <w:rPr>
      <w:rFonts w:eastAsia="Times New Roman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B3300"/>
    <w:rPr>
      <w:rFonts w:ascii="Arial" w:eastAsia="Times New Roman" w:hAnsi="Arial" w:cs="Arial"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3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30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8D295-EAB0-4903-B25A-BFB329CE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© Copyright IBM Corporation, 2017. All rights reserved.</Company>
  <LinksUpToDate>false</LinksUpToDate>
  <CharactersWithSpaces>2069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IBM Kenexa BrassRing on Cloud</dc:subject>
  <dc:creator>Niki Trumble</dc:creator>
  <cp:keywords/>
  <dc:description/>
  <cp:lastModifiedBy>Jon Dunne</cp:lastModifiedBy>
  <cp:revision>4</cp:revision>
  <dcterms:created xsi:type="dcterms:W3CDTF">2019-09-23T15:52:00Z</dcterms:created>
  <dcterms:modified xsi:type="dcterms:W3CDTF">2019-09-24T11:19:00Z</dcterms:modified>
  <cp:category/>
</cp:coreProperties>
</file>